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70" w:rsidRDefault="00F64570" w:rsidP="00F64570">
      <w:pPr>
        <w:spacing w:after="160" w:line="240" w:lineRule="auto"/>
        <w:jc w:val="both"/>
        <w:rPr>
          <w:rFonts w:ascii="Sylfaen" w:eastAsia="Times New Roman" w:hAnsi="Sylfaen" w:cs="Times New Roman"/>
          <w:color w:val="161616"/>
          <w:sz w:val="24"/>
          <w:szCs w:val="24"/>
          <w:lang w:val="hy-AM"/>
        </w:rPr>
      </w:pPr>
    </w:p>
    <w:p w:rsidR="00F64570" w:rsidRDefault="00F64570" w:rsidP="00F64570">
      <w:pPr>
        <w:spacing w:after="160" w:line="240" w:lineRule="auto"/>
        <w:jc w:val="both"/>
        <w:rPr>
          <w:rFonts w:ascii="Sylfaen" w:eastAsia="Times New Roman" w:hAnsi="Sylfaen" w:cs="Times New Roman"/>
          <w:color w:val="161616"/>
          <w:sz w:val="24"/>
          <w:szCs w:val="24"/>
          <w:lang w:val="hy-AM"/>
        </w:rPr>
      </w:pPr>
    </w:p>
    <w:p w:rsidR="00F64570" w:rsidRDefault="00F64570" w:rsidP="00F64570">
      <w:pPr>
        <w:spacing w:after="160" w:line="240" w:lineRule="auto"/>
        <w:jc w:val="both"/>
        <w:rPr>
          <w:rFonts w:ascii="Sylfaen" w:eastAsia="Times New Roman" w:hAnsi="Sylfaen" w:cs="Times New Roman"/>
          <w:color w:val="161616"/>
          <w:sz w:val="24"/>
          <w:szCs w:val="24"/>
          <w:lang w:val="hy-AM"/>
        </w:rPr>
      </w:pPr>
    </w:p>
    <w:p w:rsidR="00F64570" w:rsidRDefault="00F64570" w:rsidP="00F64570">
      <w:pPr>
        <w:spacing w:after="160" w:line="240" w:lineRule="auto"/>
        <w:jc w:val="both"/>
        <w:rPr>
          <w:rFonts w:ascii="Sylfaen" w:eastAsia="Times New Roman" w:hAnsi="Sylfaen" w:cs="Times New Roman"/>
          <w:color w:val="161616"/>
          <w:sz w:val="24"/>
          <w:szCs w:val="24"/>
          <w:lang w:val="hy-AM"/>
        </w:rPr>
      </w:pPr>
    </w:p>
    <w:p w:rsidR="00F64570" w:rsidRDefault="00F64570" w:rsidP="00F64570">
      <w:pPr>
        <w:spacing w:after="160" w:line="240" w:lineRule="auto"/>
        <w:jc w:val="both"/>
        <w:rPr>
          <w:rFonts w:ascii="Sylfaen" w:eastAsia="Times New Roman" w:hAnsi="Sylfaen" w:cs="Times New Roman"/>
          <w:color w:val="161616"/>
          <w:sz w:val="24"/>
          <w:szCs w:val="24"/>
          <w:lang w:val="hy-AM"/>
        </w:rPr>
      </w:pPr>
    </w:p>
    <w:p w:rsidR="00F64570" w:rsidRPr="00F64570" w:rsidRDefault="00F64570" w:rsidP="00F64570">
      <w:pPr>
        <w:spacing w:after="160" w:line="240" w:lineRule="auto"/>
        <w:jc w:val="both"/>
        <w:rPr>
          <w:rFonts w:ascii="Sylfaen" w:eastAsia="Times New Roman" w:hAnsi="Sylfaen" w:cs="Times New Roman"/>
          <w:sz w:val="24"/>
          <w:szCs w:val="24"/>
          <w:lang w:val="hy-AM"/>
        </w:rPr>
      </w:pPr>
      <w:r>
        <w:rPr>
          <w:rFonts w:ascii="Sylfaen" w:eastAsia="Times New Roman" w:hAnsi="Sylfaen" w:cs="Times New Roman"/>
          <w:noProof/>
          <w:color w:val="161616"/>
          <w:sz w:val="24"/>
          <w:szCs w:val="24"/>
        </w:rPr>
        <w:drawing>
          <wp:anchor distT="0" distB="0" distL="114300" distR="114300" simplePos="0" relativeHeight="251658240" behindDoc="0" locked="0" layoutInCell="1" allowOverlap="1">
            <wp:simplePos x="933450" y="914400"/>
            <wp:positionH relativeFrom="margin">
              <wp:align>center</wp:align>
            </wp:positionH>
            <wp:positionV relativeFrom="margin">
              <wp:align>top</wp:align>
            </wp:positionV>
            <wp:extent cx="2724150" cy="999641"/>
            <wp:effectExtent l="19050" t="0" r="0" b="0"/>
            <wp:wrapSquare wrapText="bothSides"/>
            <wp:docPr id="1" name="Picture 0" descr="Coalition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itionRED (1).png"/>
                    <pic:cNvPicPr/>
                  </pic:nvPicPr>
                  <pic:blipFill>
                    <a:blip r:embed="rId8" cstate="print"/>
                    <a:stretch>
                      <a:fillRect/>
                    </a:stretch>
                  </pic:blipFill>
                  <pic:spPr>
                    <a:xfrm>
                      <a:off x="0" y="0"/>
                      <a:ext cx="2724150" cy="999641"/>
                    </a:xfrm>
                    <a:prstGeom prst="rect">
                      <a:avLst/>
                    </a:prstGeom>
                  </pic:spPr>
                </pic:pic>
              </a:graphicData>
            </a:graphic>
          </wp:anchor>
        </w:drawing>
      </w:r>
      <w:r w:rsidRPr="00F64570">
        <w:rPr>
          <w:rFonts w:ascii="Sylfaen" w:eastAsia="Times New Roman" w:hAnsi="Sylfaen" w:cs="Times New Roman"/>
          <w:color w:val="161616"/>
          <w:sz w:val="24"/>
          <w:szCs w:val="24"/>
          <w:lang w:val="hy-AM"/>
        </w:rPr>
        <w:t>Սեպտեմբերի 27-ին, COVID-19 համավարակի ընթացքում, Ադրբեջանի զինված ուժերը հրթիռային գրոհներ են ձեռնարկել Արցախի (Լեռնային Ղարաբաղ) շփման գծի ողջ երկայնքով՝ թիրախավորելով նաեւ խաղաղ բնակավայրերը</w:t>
      </w:r>
      <w:r>
        <w:rPr>
          <w:rStyle w:val="FootnoteReference"/>
          <w:rFonts w:ascii="Sylfaen" w:eastAsia="Times New Roman" w:hAnsi="Sylfaen" w:cs="Times New Roman"/>
          <w:color w:val="161616"/>
          <w:sz w:val="24"/>
          <w:szCs w:val="24"/>
          <w:lang w:val="hy-AM"/>
        </w:rPr>
        <w:footnoteReference w:id="2"/>
      </w:r>
      <w:r w:rsidRPr="00F64570">
        <w:rPr>
          <w:rFonts w:ascii="Sylfaen" w:eastAsia="Times New Roman" w:hAnsi="Sylfaen" w:cs="Times New Roman"/>
          <w:color w:val="161616"/>
          <w:sz w:val="24"/>
          <w:szCs w:val="24"/>
          <w:lang w:val="hy-AM"/>
        </w:rPr>
        <w:t>։ Միջազգային աղբյուրներից</w:t>
      </w:r>
      <w:r>
        <w:rPr>
          <w:rStyle w:val="FootnoteReference"/>
          <w:rFonts w:ascii="Sylfaen" w:eastAsia="Times New Roman" w:hAnsi="Sylfaen" w:cs="Times New Roman"/>
          <w:color w:val="161616"/>
          <w:sz w:val="24"/>
          <w:szCs w:val="24"/>
          <w:lang w:val="hy-AM"/>
        </w:rPr>
        <w:footnoteReference w:id="3"/>
      </w:r>
      <w:r w:rsidRPr="00F64570">
        <w:rPr>
          <w:rFonts w:ascii="Sylfaen" w:eastAsia="Times New Roman" w:hAnsi="Sylfaen" w:cs="Times New Roman"/>
          <w:color w:val="161616"/>
          <w:sz w:val="24"/>
          <w:szCs w:val="24"/>
          <w:lang w:val="hy-AM"/>
        </w:rPr>
        <w:t xml:space="preserve"> ստացած հաղորդագրությունները փաստում են, որ ջիհադիստական խմբավորումների սիրիացի գրոհայինները Թուրքիայի կողմից հավաքագրվել եւ տեղափոխվել են Լեռնային Ղարաբաղ՝ այդկերպ էքզիստենցիալ սպառնալիք առաջացնելով Արցախում բնակվող երեխաների, կանանց, ծերերի եւ ամբողջ բնակչության կյանքի եւ առողջության համար:</w:t>
      </w:r>
    </w:p>
    <w:p w:rsidR="00F64570" w:rsidRPr="00F64570" w:rsidRDefault="00F64570" w:rsidP="00F64570">
      <w:pPr>
        <w:spacing w:after="16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161616"/>
          <w:sz w:val="24"/>
          <w:szCs w:val="24"/>
          <w:lang w:val="hy-AM"/>
        </w:rPr>
        <w:t>Գյուղերը, քաղաքներն ու մայրաքաղաք Ստեփանակերտը ենթարկվել են ինտենսիվ հարձակման, ինչի արդյունքում խաղաղ բնակիչների շրջանում կան բազմաթիվ զոհեր ու վիրավորներ։ 2020 թվականի հոկտեմբերի 12-ի դրությամբ սպանվել է 31 քաղաքացիական անձ, այդ թվում՝ 1 երեխա եւ 8 կին: Քաղաքացիական բնակչության 60% -ը սպանվել է իր իսկ բնակության վայրերում</w:t>
      </w:r>
      <w:r>
        <w:rPr>
          <w:rStyle w:val="FootnoteReference"/>
          <w:rFonts w:ascii="Sylfaen" w:eastAsia="Times New Roman" w:hAnsi="Sylfaen" w:cs="Times New Roman"/>
          <w:color w:val="161616"/>
          <w:sz w:val="24"/>
          <w:szCs w:val="24"/>
        </w:rPr>
        <w:footnoteReference w:id="4"/>
      </w:r>
      <w:r w:rsidRPr="00F64570">
        <w:rPr>
          <w:rFonts w:ascii="Sylfaen" w:eastAsia="Times New Roman" w:hAnsi="Sylfaen" w:cs="Times New Roman"/>
          <w:color w:val="161616"/>
          <w:sz w:val="24"/>
          <w:szCs w:val="24"/>
          <w:lang w:val="hy-AM"/>
        </w:rPr>
        <w:t>։</w:t>
      </w:r>
    </w:p>
    <w:p w:rsidR="00F64570" w:rsidRPr="00F64570" w:rsidRDefault="00F64570" w:rsidP="00F64570">
      <w:pPr>
        <w:spacing w:after="16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161616"/>
          <w:sz w:val="24"/>
          <w:szCs w:val="24"/>
          <w:lang w:val="hy-AM"/>
        </w:rPr>
        <w:t>Ադրբեջանը շարունակաբար եւ կանխամտածված թիրախավորում է խաղաղ բնակչությանը: 2020 թվականի սեպտեմբերի 27-ին ադրբեջանական ուժերի կողմից գնդակոծումից՝ 13-ամյա տղա երեխա վիրավորվեց Մարտակերտում (Արցախ): Նա 5 օր կոմայի մեջ էր եւ մինչ այժմ շարունակում է բուժվել ինտենսիվ խնամքի բաժանմունքում</w:t>
      </w:r>
      <w:r>
        <w:rPr>
          <w:rStyle w:val="FootnoteReference"/>
          <w:rFonts w:ascii="Sylfaen" w:eastAsia="Times New Roman" w:hAnsi="Sylfaen" w:cs="Times New Roman"/>
          <w:color w:val="161616"/>
          <w:sz w:val="24"/>
          <w:szCs w:val="24"/>
        </w:rPr>
        <w:footnoteReference w:id="5"/>
      </w:r>
      <w:r w:rsidRPr="00F64570">
        <w:rPr>
          <w:rFonts w:ascii="Sylfaen" w:eastAsia="Times New Roman" w:hAnsi="Sylfaen" w:cs="Times New Roman"/>
          <w:color w:val="161616"/>
          <w:sz w:val="24"/>
          <w:szCs w:val="24"/>
          <w:lang w:val="hy-AM"/>
        </w:rPr>
        <w:t xml:space="preserve">։ Երեխաներին թիրախավորելու Ադրբեջանի ռազմավարությունը շարունակվում է նաեւ Հայաստանի Հանրապետության տարածքում. 2020 թվականի </w:t>
      </w:r>
      <w:r w:rsidRPr="00F64570">
        <w:rPr>
          <w:rFonts w:ascii="Sylfaen" w:eastAsia="Times New Roman" w:hAnsi="Sylfaen" w:cs="Times New Roman"/>
          <w:color w:val="161616"/>
          <w:sz w:val="24"/>
          <w:szCs w:val="24"/>
          <w:lang w:val="hy-AM"/>
        </w:rPr>
        <w:lastRenderedPageBreak/>
        <w:t>հոկտեմբերի 14-ին դաշտ գնալիս` ադրբեջանական անօդաչու ինքնաթիռի հարվածից վիրավորվել է 14-ամյա մեկ այլ երեխա</w:t>
      </w:r>
      <w:r>
        <w:rPr>
          <w:rStyle w:val="FootnoteReference"/>
          <w:rFonts w:ascii="Sylfaen" w:eastAsia="Times New Roman" w:hAnsi="Sylfaen" w:cs="Times New Roman"/>
          <w:color w:val="161616"/>
          <w:sz w:val="24"/>
          <w:szCs w:val="24"/>
        </w:rPr>
        <w:footnoteReference w:id="6"/>
      </w:r>
      <w:r w:rsidRPr="00F64570">
        <w:rPr>
          <w:rFonts w:ascii="Sylfaen" w:eastAsia="Times New Roman" w:hAnsi="Sylfaen" w:cs="Times New Roman"/>
          <w:color w:val="161616"/>
          <w:sz w:val="24"/>
          <w:szCs w:val="24"/>
          <w:lang w:val="hy-AM"/>
        </w:rPr>
        <w:t>։</w:t>
      </w:r>
    </w:p>
    <w:p w:rsidR="00F64570" w:rsidRPr="00F64570" w:rsidRDefault="00F64570" w:rsidP="00F64570">
      <w:pPr>
        <w:spacing w:after="16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161616"/>
          <w:sz w:val="24"/>
          <w:szCs w:val="24"/>
          <w:lang w:val="hy-AM"/>
        </w:rPr>
        <w:t>Լայնամասշտաբ վնասներ են հասցվել քաղաքացիական օբյեկտներին, բնակելի շենքերին, հիվանդանոցներին եւ դպրոցներին: Արցախի դեմ լայնածավալ ագրեսիան սկսելուց ի վեր` Ադրբեջանը բազմիցս օգտագործել է միջազգայնորեն արգելված զենքեր այն տարածքներում, որտեղ գտնվում են խաղաղ բնակչություն եւ քաղաքացիական օբյեկտներ՝ թողնելով չպայթած ռմբակոծությունների անկայուն «ականադաշտեր», որոնք վտանգի տակ են դնում խաղաղ բնակիչներին եւ հատկապես երեխաներին</w:t>
      </w:r>
      <w:r>
        <w:rPr>
          <w:rStyle w:val="FootnoteReference"/>
          <w:rFonts w:ascii="Sylfaen" w:eastAsia="Times New Roman" w:hAnsi="Sylfaen" w:cs="Times New Roman"/>
          <w:color w:val="161616"/>
          <w:sz w:val="24"/>
          <w:szCs w:val="24"/>
        </w:rPr>
        <w:footnoteReference w:id="7"/>
      </w:r>
      <w:r w:rsidRPr="00F64570">
        <w:rPr>
          <w:rFonts w:ascii="Sylfaen" w:eastAsia="Times New Roman" w:hAnsi="Sylfaen" w:cs="Times New Roman"/>
          <w:color w:val="161616"/>
          <w:sz w:val="24"/>
          <w:szCs w:val="24"/>
          <w:lang w:val="hy-AM"/>
        </w:rPr>
        <w:t>։</w:t>
      </w:r>
      <w:r w:rsidRPr="00F64570">
        <w:rPr>
          <w:rFonts w:ascii="Sylfaen" w:eastAsia="Times New Roman" w:hAnsi="Sylfaen" w:cs="Times New Roman"/>
          <w:color w:val="161616"/>
          <w:sz w:val="24"/>
          <w:szCs w:val="24"/>
          <w:vertAlign w:val="superscript"/>
          <w:lang w:val="hy-AM"/>
        </w:rPr>
        <w:t> </w:t>
      </w:r>
    </w:p>
    <w:p w:rsidR="00F64570" w:rsidRPr="00F64570" w:rsidRDefault="00F64570" w:rsidP="00F64570">
      <w:pPr>
        <w:spacing w:after="16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000000"/>
          <w:sz w:val="24"/>
          <w:szCs w:val="24"/>
          <w:lang w:val="hy-AM"/>
        </w:rPr>
        <w:t>«Բոլոր պատերազմները՝ արդար կամ անարդար, աղետալի կամ հաղթական, մղվում են երեխայի դեմ»</w:t>
      </w:r>
      <w:r w:rsidR="00FE512D">
        <w:rPr>
          <w:rStyle w:val="FootnoteReference"/>
          <w:rFonts w:ascii="Sylfaen" w:eastAsia="Times New Roman" w:hAnsi="Sylfaen" w:cs="Times New Roman"/>
          <w:color w:val="000000"/>
          <w:sz w:val="24"/>
          <w:szCs w:val="24"/>
          <w:lang w:val="hy-AM"/>
        </w:rPr>
        <w:footnoteReference w:id="8"/>
      </w:r>
      <w:r w:rsidRPr="00F64570">
        <w:rPr>
          <w:rFonts w:ascii="Sylfaen" w:eastAsia="Times New Roman" w:hAnsi="Sylfaen" w:cs="Times New Roman"/>
          <w:color w:val="000000"/>
          <w:sz w:val="24"/>
          <w:szCs w:val="24"/>
          <w:lang w:val="hy-AM"/>
        </w:rPr>
        <w:t>։ Երեխաները պատերազմի, զինված ընդհարումների եւ ահաբեկչության առաջին զոհերն են: Պատերազմն ազդում է երեխաների վրա ավելի, քան մեծահասակնին է անդրադառնում: Նախ, երեխաները կախված են իրենց սիրող մեծահասակների խնամքից, կարեկցանքից եւ ուշադրությունից: Նրանց կապերը հաճախ են խաթարվում պատերազմական ժամանակներում: Երկրորդ, մանկության ժամանակահատվածում այդ ազդեցությունները կարող են բացասաբար անդրադառնալ երեխաների կյանքի հետագծի վրա, շատ ավելի, քան մեծահասակների պարագայում. պատերազմի, զինված ընդհարումների ընթացքում երեխաները զրկվում են կրթության, իրենց սոցիալական միջավայրում ապրելու իրավունքից։</w:t>
      </w:r>
    </w:p>
    <w:p w:rsidR="00F64570" w:rsidRPr="00F64570" w:rsidRDefault="00F64570" w:rsidP="00F64570">
      <w:pPr>
        <w:spacing w:after="16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000000"/>
          <w:sz w:val="24"/>
          <w:szCs w:val="24"/>
          <w:lang w:val="hy-AM"/>
        </w:rPr>
        <w:t>1948 թվականի Մարդու իրավունքների հռչակագիրը</w:t>
      </w:r>
      <w:r w:rsidR="00FE512D">
        <w:rPr>
          <w:rStyle w:val="FootnoteReference"/>
          <w:rFonts w:ascii="Sylfaen" w:eastAsia="Times New Roman" w:hAnsi="Sylfaen" w:cs="Times New Roman"/>
          <w:color w:val="000000"/>
          <w:sz w:val="24"/>
          <w:szCs w:val="24"/>
        </w:rPr>
        <w:footnoteReference w:id="9"/>
      </w:r>
      <w:r w:rsidRPr="00F64570">
        <w:rPr>
          <w:rFonts w:ascii="Sylfaen" w:eastAsia="Times New Roman" w:hAnsi="Sylfaen" w:cs="Times New Roman"/>
          <w:color w:val="000000"/>
          <w:sz w:val="24"/>
          <w:szCs w:val="24"/>
          <w:lang w:val="hy-AM"/>
        </w:rPr>
        <w:t>, 1949 թվականի Ժնեւի կոնվենցիան եւ լրացուցիչ արձանագրությունները</w:t>
      </w:r>
      <w:r w:rsidR="00FE512D">
        <w:rPr>
          <w:rStyle w:val="FootnoteReference"/>
          <w:rFonts w:ascii="Sylfaen" w:eastAsia="Times New Roman" w:hAnsi="Sylfaen" w:cs="Times New Roman"/>
          <w:color w:val="000000"/>
          <w:sz w:val="24"/>
          <w:szCs w:val="24"/>
          <w:lang w:val="hy-AM"/>
        </w:rPr>
        <w:footnoteReference w:id="10"/>
      </w:r>
      <w:r w:rsidRPr="00F64570">
        <w:rPr>
          <w:rFonts w:ascii="Sylfaen" w:eastAsia="Times New Roman" w:hAnsi="Sylfaen" w:cs="Times New Roman"/>
          <w:color w:val="000000"/>
          <w:sz w:val="24"/>
          <w:szCs w:val="24"/>
          <w:lang w:val="hy-AM"/>
        </w:rPr>
        <w:t xml:space="preserve">, 1974 թվականի ՄԱԿ-ի Գլխավոր ասամբլեայի կողմից ընդունված «Արտակարգ իրավիճակներում եւ զինված բախումներում կանանց եւ երեխաների պաշտպանության մասին» հատուկ </w:t>
      </w:r>
      <w:r w:rsidRPr="00F64570">
        <w:rPr>
          <w:rFonts w:ascii="Sylfaen" w:eastAsia="Times New Roman" w:hAnsi="Sylfaen" w:cs="Times New Roman"/>
          <w:color w:val="000000"/>
          <w:sz w:val="24"/>
          <w:szCs w:val="24"/>
          <w:lang w:val="hy-AM"/>
        </w:rPr>
        <w:lastRenderedPageBreak/>
        <w:t>հռչակագիրը</w:t>
      </w:r>
      <w:r w:rsidR="00FE512D">
        <w:rPr>
          <w:rStyle w:val="FootnoteReference"/>
          <w:rFonts w:ascii="Sylfaen" w:eastAsia="Times New Roman" w:hAnsi="Sylfaen" w:cs="Times New Roman"/>
          <w:color w:val="000000"/>
          <w:sz w:val="24"/>
          <w:szCs w:val="24"/>
          <w:lang w:val="hy-AM"/>
        </w:rPr>
        <w:footnoteReference w:id="11"/>
      </w:r>
      <w:r w:rsidRPr="00F64570">
        <w:rPr>
          <w:rFonts w:ascii="Sylfaen" w:eastAsia="Times New Roman" w:hAnsi="Sylfaen" w:cs="Times New Roman"/>
          <w:color w:val="000000"/>
          <w:sz w:val="24"/>
          <w:szCs w:val="24"/>
          <w:lang w:val="hy-AM"/>
        </w:rPr>
        <w:t>, 1989 թվականի «Երեխայի իրավունքների մասին» ՄԱԿ-ի կոնվենցիան</w:t>
      </w:r>
      <w:r w:rsidR="00FE512D">
        <w:rPr>
          <w:rStyle w:val="FootnoteReference"/>
          <w:rFonts w:ascii="Sylfaen" w:eastAsia="Times New Roman" w:hAnsi="Sylfaen" w:cs="Times New Roman"/>
          <w:color w:val="000000"/>
          <w:sz w:val="24"/>
          <w:szCs w:val="24"/>
          <w:lang w:val="hy-AM"/>
        </w:rPr>
        <w:footnoteReference w:id="12"/>
      </w:r>
      <w:r w:rsidRPr="00F64570">
        <w:rPr>
          <w:rFonts w:ascii="Sylfaen" w:eastAsia="Times New Roman" w:hAnsi="Sylfaen" w:cs="Times New Roman"/>
          <w:color w:val="000000"/>
          <w:sz w:val="24"/>
          <w:szCs w:val="24"/>
          <w:lang w:val="hy-AM"/>
        </w:rPr>
        <w:t xml:space="preserve"> զինված հակամարտություններում երեխաների իրավունքների արդյունավետ իրականացման օրենսդրական մեխանիզմների օրինակներ են:</w:t>
      </w:r>
    </w:p>
    <w:p w:rsidR="00F64570" w:rsidRPr="00F64570" w:rsidRDefault="00F64570" w:rsidP="00F64570">
      <w:pPr>
        <w:spacing w:after="160" w:line="240" w:lineRule="auto"/>
        <w:jc w:val="both"/>
        <w:rPr>
          <w:rFonts w:ascii="Sylfaen" w:eastAsia="Times New Roman" w:hAnsi="Sylfaen" w:cs="Times New Roman"/>
          <w:sz w:val="24"/>
          <w:szCs w:val="24"/>
        </w:rPr>
      </w:pPr>
      <w:r w:rsidRPr="00F64570">
        <w:rPr>
          <w:rFonts w:ascii="Sylfaen" w:eastAsia="Times New Roman" w:hAnsi="Sylfaen" w:cs="Times New Roman"/>
          <w:color w:val="000000"/>
          <w:sz w:val="24"/>
          <w:szCs w:val="24"/>
        </w:rPr>
        <w:t>Ճշմարտությունը, սակայն, այսօր այն է, որ պատերազմի ընթացքում օրենքները մի կողմ են դրվում, եւ երեխաներին ռմբակոծում են իրենց տներում եւ դպրոցներում, նրանց հիմնարար իրավունքները շարունակում են պարբերաբար խախտվել։ Իրավամբ, միջազգայնորեն չճանաչված պետություններում եւս երեխաներն ունեն ապրելու, կրթություն ստանալու եւ ապահով լինելու իրավունք։</w:t>
      </w:r>
    </w:p>
    <w:p w:rsidR="00F64570" w:rsidRPr="00F64570" w:rsidRDefault="00F64570" w:rsidP="00F64570">
      <w:pPr>
        <w:spacing w:after="160" w:line="240" w:lineRule="auto"/>
        <w:jc w:val="both"/>
        <w:rPr>
          <w:rFonts w:ascii="Sylfaen" w:eastAsia="Times New Roman" w:hAnsi="Sylfaen" w:cs="Times New Roman"/>
          <w:sz w:val="24"/>
          <w:szCs w:val="24"/>
        </w:rPr>
      </w:pPr>
      <w:r w:rsidRPr="00F64570">
        <w:rPr>
          <w:rFonts w:ascii="Sylfaen" w:eastAsia="Times New Roman" w:hAnsi="Sylfaen" w:cs="Times New Roman"/>
          <w:color w:val="000000"/>
          <w:sz w:val="24"/>
          <w:szCs w:val="24"/>
        </w:rPr>
        <w:t>Արցախում ապրող երեխաների, կանանց եւ ամբողջ բնակչության կյանքն ու առողջությունը դեռեւս անմիջական եւ իրական սպառնալիքի տակ են, բայց միջազգային ժողովրդավարական հանրությունն ու հատկապես միջազգային իրավապաշտպան կազմակերպությունները լռում կամ չեզոք են անարդարությունների նկատմամբ: Այս լռությունը կործանարար է: Անհրաժեշտ են հրատապ գործողություններ։</w:t>
      </w:r>
    </w:p>
    <w:p w:rsidR="00F64570" w:rsidRPr="00F64570" w:rsidRDefault="00F64570" w:rsidP="00F64570">
      <w:pPr>
        <w:spacing w:after="0" w:line="240" w:lineRule="auto"/>
        <w:jc w:val="both"/>
        <w:rPr>
          <w:rFonts w:ascii="Sylfaen" w:eastAsia="Times New Roman" w:hAnsi="Sylfaen" w:cs="Times New Roman"/>
          <w:sz w:val="24"/>
          <w:szCs w:val="24"/>
        </w:rPr>
      </w:pPr>
      <w:r w:rsidRPr="00F64570">
        <w:rPr>
          <w:rFonts w:ascii="Sylfaen" w:eastAsia="Times New Roman" w:hAnsi="Sylfaen" w:cs="Times New Roman"/>
          <w:color w:val="000000"/>
          <w:sz w:val="24"/>
          <w:szCs w:val="24"/>
        </w:rPr>
        <w:t>Սա ահազանգ է միջազգային հանրության եւ միջազգային իրավապաշտպան կազմակերպություններին՝ հրատապ, ակտիվ եւ արդյունավետ քայլեր ձեռնարկել՝ դադարեցնելու Արցախի Հանրապետությունում շարունակվող մարդասիրական ճգնաժամն ու « ... փրկելու հաջորդ սերունդներին պատերազմի արհավիրքից։»</w:t>
      </w:r>
      <w:r w:rsidR="00FE512D">
        <w:rPr>
          <w:rStyle w:val="FootnoteReference"/>
          <w:rFonts w:ascii="Sylfaen" w:eastAsia="Times New Roman" w:hAnsi="Sylfaen" w:cs="Times New Roman"/>
          <w:color w:val="000000"/>
          <w:sz w:val="24"/>
          <w:szCs w:val="24"/>
        </w:rPr>
        <w:footnoteReference w:id="13"/>
      </w:r>
      <w:r w:rsidRPr="00F64570">
        <w:rPr>
          <w:rFonts w:ascii="Sylfaen" w:eastAsia="Times New Roman" w:hAnsi="Sylfaen" w:cs="Times New Roman"/>
          <w:color w:val="000000"/>
          <w:sz w:val="24"/>
          <w:szCs w:val="24"/>
        </w:rPr>
        <w:t>:</w:t>
      </w:r>
    </w:p>
    <w:p w:rsidR="00F64570" w:rsidRPr="00F64570" w:rsidRDefault="00F64570" w:rsidP="00F64570">
      <w:pPr>
        <w:spacing w:after="240" w:line="240" w:lineRule="auto"/>
        <w:rPr>
          <w:rFonts w:ascii="Sylfaen" w:eastAsia="Times New Roman" w:hAnsi="Sylfaen" w:cs="Times New Roman"/>
          <w:sz w:val="24"/>
          <w:szCs w:val="24"/>
        </w:rPr>
      </w:pPr>
    </w:p>
    <w:p w:rsidR="00F64570" w:rsidRPr="00F64570" w:rsidRDefault="00F64570" w:rsidP="00F64570">
      <w:pPr>
        <w:shd w:val="clear" w:color="auto" w:fill="FFFFFF"/>
        <w:spacing w:after="0" w:line="240" w:lineRule="auto"/>
        <w:jc w:val="both"/>
        <w:rPr>
          <w:rFonts w:ascii="Sylfaen" w:eastAsia="Times New Roman" w:hAnsi="Sylfaen" w:cs="Times New Roman"/>
          <w:sz w:val="24"/>
          <w:szCs w:val="24"/>
        </w:rPr>
      </w:pPr>
      <w:r w:rsidRPr="00F64570">
        <w:rPr>
          <w:rFonts w:ascii="Sylfaen" w:eastAsia="Times New Roman" w:hAnsi="Sylfaen" w:cs="Times New Roman"/>
          <w:color w:val="222222"/>
          <w:sz w:val="24"/>
          <w:szCs w:val="24"/>
        </w:rPr>
        <w:t>Մենք պահանջում ենք.</w:t>
      </w:r>
    </w:p>
    <w:p w:rsidR="00F64570" w:rsidRPr="00F64570" w:rsidRDefault="00F64570" w:rsidP="00F64570">
      <w:pPr>
        <w:shd w:val="clear" w:color="auto" w:fill="FFFFFF"/>
        <w:spacing w:after="0" w:line="240" w:lineRule="auto"/>
        <w:jc w:val="both"/>
        <w:rPr>
          <w:rFonts w:ascii="Sylfaen" w:eastAsia="Times New Roman" w:hAnsi="Sylfaen" w:cs="Times New Roman"/>
          <w:sz w:val="24"/>
          <w:szCs w:val="24"/>
        </w:rPr>
      </w:pPr>
      <w:r w:rsidRPr="00F64570">
        <w:rPr>
          <w:rFonts w:ascii="Sylfaen" w:eastAsia="Times New Roman" w:hAnsi="Sylfaen" w:cs="Times New Roman"/>
          <w:sz w:val="24"/>
          <w:szCs w:val="24"/>
        </w:rPr>
        <w:t> </w:t>
      </w:r>
    </w:p>
    <w:p w:rsidR="00F64570" w:rsidRPr="00F64570" w:rsidRDefault="00F64570" w:rsidP="00F64570">
      <w:pPr>
        <w:pStyle w:val="ListParagraph"/>
        <w:numPr>
          <w:ilvl w:val="0"/>
          <w:numId w:val="1"/>
        </w:numPr>
        <w:shd w:val="clear" w:color="auto" w:fill="FFFFFF"/>
        <w:spacing w:after="0" w:line="240" w:lineRule="auto"/>
        <w:jc w:val="both"/>
        <w:rPr>
          <w:rFonts w:ascii="Sylfaen" w:eastAsia="Times New Roman" w:hAnsi="Sylfaen" w:cs="Times New Roman"/>
          <w:sz w:val="24"/>
          <w:szCs w:val="24"/>
        </w:rPr>
      </w:pPr>
      <w:r w:rsidRPr="00F64570">
        <w:rPr>
          <w:rFonts w:ascii="Sylfaen" w:eastAsia="Times New Roman" w:hAnsi="Sylfaen" w:cs="Times New Roman"/>
          <w:color w:val="222222"/>
          <w:sz w:val="24"/>
          <w:szCs w:val="24"/>
        </w:rPr>
        <w:t>իրականացնել մշտադիտարկում եւ կազմել զեկույց Արցախից տեղահանված երեխաների վիճակի վերաբերյալ,</w:t>
      </w:r>
    </w:p>
    <w:p w:rsidR="00F64570" w:rsidRPr="00F64570" w:rsidRDefault="00F64570" w:rsidP="00F64570">
      <w:pPr>
        <w:pStyle w:val="ListParagraph"/>
        <w:numPr>
          <w:ilvl w:val="0"/>
          <w:numId w:val="1"/>
        </w:numPr>
        <w:shd w:val="clear" w:color="auto" w:fill="FFFFFF"/>
        <w:spacing w:after="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222222"/>
          <w:sz w:val="24"/>
          <w:szCs w:val="24"/>
          <w:lang w:val="hy-AM"/>
        </w:rPr>
        <w:t>հայտարարությամբ դատապարտել ադրբեջանական ագրեսիան եւ քաղաքացիական բնակչության ու շինությունների ռմբակոծությունն Արցախում եւ Հայաստանի Հանրապետությունում, </w:t>
      </w:r>
    </w:p>
    <w:p w:rsidR="00F64570" w:rsidRPr="00F64570" w:rsidRDefault="00F64570" w:rsidP="00F64570">
      <w:pPr>
        <w:pStyle w:val="ListParagraph"/>
        <w:numPr>
          <w:ilvl w:val="0"/>
          <w:numId w:val="1"/>
        </w:numPr>
        <w:shd w:val="clear" w:color="auto" w:fill="FFFFFF"/>
        <w:spacing w:after="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222222"/>
          <w:sz w:val="24"/>
          <w:szCs w:val="24"/>
          <w:lang w:val="hy-AM"/>
        </w:rPr>
        <w:t>իրականացնել մշտադիտարկում եւ կազմել զեկույց ադրբեջանական ագրեսիայի հետեւանքով երեխաների կրթության իրավունքի հասանելիության վերաբերյալ,</w:t>
      </w:r>
    </w:p>
    <w:p w:rsidR="00F64570" w:rsidRPr="00F64570" w:rsidRDefault="00F64570" w:rsidP="00F64570">
      <w:pPr>
        <w:pStyle w:val="ListParagraph"/>
        <w:numPr>
          <w:ilvl w:val="0"/>
          <w:numId w:val="1"/>
        </w:numPr>
        <w:shd w:val="clear" w:color="auto" w:fill="FFFFFF"/>
        <w:spacing w:after="0" w:line="240" w:lineRule="auto"/>
        <w:jc w:val="both"/>
        <w:rPr>
          <w:rFonts w:ascii="Sylfaen" w:eastAsia="Times New Roman" w:hAnsi="Sylfaen" w:cs="Times New Roman"/>
          <w:sz w:val="24"/>
          <w:szCs w:val="24"/>
          <w:lang w:val="hy-AM"/>
        </w:rPr>
      </w:pPr>
      <w:r w:rsidRPr="00F64570">
        <w:rPr>
          <w:rFonts w:ascii="Sylfaen" w:eastAsia="Times New Roman" w:hAnsi="Sylfaen" w:cs="Times New Roman"/>
          <w:color w:val="222222"/>
          <w:sz w:val="24"/>
          <w:szCs w:val="24"/>
          <w:lang w:val="hy-AM"/>
        </w:rPr>
        <w:t>տրամադրել պատշաճ աջակցություն եւ հումանիտար օգնություն պատերազմի արդյունքում տուժած երեխաներին։</w:t>
      </w:r>
    </w:p>
    <w:p w:rsidR="00C91184" w:rsidRPr="00F64570" w:rsidRDefault="00C91184">
      <w:pPr>
        <w:rPr>
          <w:rFonts w:ascii="Sylfaen" w:hAnsi="Sylfaen"/>
          <w:sz w:val="24"/>
          <w:szCs w:val="24"/>
          <w:lang w:val="hy-AM"/>
        </w:rPr>
      </w:pPr>
    </w:p>
    <w:sectPr w:rsidR="00C91184" w:rsidRPr="00F64570" w:rsidSect="00C911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075" w:rsidRDefault="00AC3075" w:rsidP="00F64570">
      <w:pPr>
        <w:spacing w:after="0" w:line="240" w:lineRule="auto"/>
      </w:pPr>
      <w:r>
        <w:separator/>
      </w:r>
    </w:p>
  </w:endnote>
  <w:endnote w:type="continuationSeparator" w:id="1">
    <w:p w:rsidR="00AC3075" w:rsidRDefault="00AC3075" w:rsidP="00F6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075" w:rsidRDefault="00AC3075" w:rsidP="00F64570">
      <w:pPr>
        <w:spacing w:after="0" w:line="240" w:lineRule="auto"/>
      </w:pPr>
      <w:r>
        <w:separator/>
      </w:r>
    </w:p>
  </w:footnote>
  <w:footnote w:type="continuationSeparator" w:id="1">
    <w:p w:rsidR="00AC3075" w:rsidRDefault="00AC3075" w:rsidP="00F64570">
      <w:pPr>
        <w:spacing w:after="0" w:line="240" w:lineRule="auto"/>
      </w:pPr>
      <w:r>
        <w:continuationSeparator/>
      </w:r>
    </w:p>
  </w:footnote>
  <w:footnote w:id="2">
    <w:p w:rsidR="00F64570" w:rsidRDefault="00F64570">
      <w:pPr>
        <w:pStyle w:val="FootnoteText"/>
        <w:rPr>
          <w:color w:val="000000"/>
          <w:sz w:val="27"/>
          <w:szCs w:val="27"/>
          <w:lang w:val="hy-AM"/>
        </w:rPr>
      </w:pPr>
      <w:r>
        <w:rPr>
          <w:rStyle w:val="FootnoteReference"/>
        </w:rPr>
        <w:footnoteRef/>
      </w:r>
      <w:r>
        <w:t xml:space="preserve"> </w:t>
      </w:r>
      <w:hyperlink r:id="rId1" w:history="1">
        <w:r w:rsidRPr="00704CAE">
          <w:rPr>
            <w:rStyle w:val="Hyperlink"/>
            <w:sz w:val="27"/>
            <w:szCs w:val="27"/>
          </w:rPr>
          <w:t>https://www.mfa.am/en/interviews-articles-and-comments/2020/09/27/mfa_st_nk/10462</w:t>
        </w:r>
      </w:hyperlink>
    </w:p>
    <w:p w:rsidR="00F64570" w:rsidRPr="00F64570" w:rsidRDefault="00F64570">
      <w:pPr>
        <w:pStyle w:val="FootnoteText"/>
        <w:rPr>
          <w:lang w:val="hy-AM"/>
        </w:rPr>
      </w:pPr>
    </w:p>
  </w:footnote>
  <w:footnote w:id="3">
    <w:p w:rsidR="00F64570" w:rsidRDefault="00F64570">
      <w:pPr>
        <w:pStyle w:val="FootnoteText"/>
        <w:rPr>
          <w:color w:val="000000"/>
          <w:sz w:val="27"/>
          <w:szCs w:val="27"/>
          <w:lang w:val="hy-AM"/>
        </w:rPr>
      </w:pPr>
      <w:r>
        <w:rPr>
          <w:rStyle w:val="FootnoteReference"/>
        </w:rPr>
        <w:footnoteRef/>
      </w:r>
      <w:r w:rsidRPr="00F64570">
        <w:rPr>
          <w:lang w:val="hy-AM"/>
        </w:rPr>
        <w:t xml:space="preserve"> </w:t>
      </w:r>
      <w:hyperlink r:id="rId2" w:history="1">
        <w:r w:rsidRPr="00704CAE">
          <w:rPr>
            <w:rStyle w:val="Hyperlink"/>
            <w:sz w:val="27"/>
            <w:szCs w:val="27"/>
            <w:lang w:val="hy-AM"/>
          </w:rPr>
          <w:t>https://www.aljazeera.com/news/2020/10/1/macron-says-syrian-fighters-operating-in-karabakh</w:t>
        </w:r>
      </w:hyperlink>
    </w:p>
    <w:p w:rsidR="00F64570" w:rsidRPr="00F64570" w:rsidRDefault="00F64570">
      <w:pPr>
        <w:pStyle w:val="FootnoteText"/>
        <w:rPr>
          <w:lang w:val="hy-AM"/>
        </w:rPr>
      </w:pPr>
    </w:p>
  </w:footnote>
  <w:footnote w:id="4">
    <w:p w:rsidR="00F64570" w:rsidRDefault="00F64570">
      <w:pPr>
        <w:pStyle w:val="FootnoteText"/>
        <w:rPr>
          <w:color w:val="000000"/>
          <w:sz w:val="27"/>
          <w:szCs w:val="27"/>
          <w:lang w:val="hy-AM"/>
        </w:rPr>
      </w:pPr>
      <w:r>
        <w:rPr>
          <w:rStyle w:val="FootnoteReference"/>
        </w:rPr>
        <w:footnoteRef/>
      </w:r>
      <w:r w:rsidRPr="00F64570">
        <w:rPr>
          <w:lang w:val="hy-AM"/>
        </w:rPr>
        <w:t xml:space="preserve"> </w:t>
      </w:r>
      <w:hyperlink r:id="rId3" w:history="1">
        <w:r w:rsidRPr="00704CAE">
          <w:rPr>
            <w:rStyle w:val="Hyperlink"/>
            <w:sz w:val="27"/>
            <w:szCs w:val="27"/>
            <w:lang w:val="hy-AM"/>
          </w:rPr>
          <w:t>https://artsakhombuds.am/sites/default/files/2020-10/Artsakh-Ombudsman-updated-second-interim-report-on-the-Azerbaijani-atrocities-in-September-October-2020-13.10.2020.pdf</w:t>
        </w:r>
      </w:hyperlink>
    </w:p>
    <w:p w:rsidR="00F64570" w:rsidRPr="00F64570" w:rsidRDefault="00F64570">
      <w:pPr>
        <w:pStyle w:val="FootnoteText"/>
        <w:rPr>
          <w:lang w:val="hy-AM"/>
        </w:rPr>
      </w:pPr>
    </w:p>
  </w:footnote>
  <w:footnote w:id="5">
    <w:p w:rsidR="00F64570" w:rsidRDefault="00F64570">
      <w:pPr>
        <w:pStyle w:val="FootnoteText"/>
        <w:rPr>
          <w:color w:val="000000"/>
          <w:sz w:val="27"/>
          <w:szCs w:val="27"/>
          <w:lang w:val="hy-AM"/>
        </w:rPr>
      </w:pPr>
      <w:r>
        <w:rPr>
          <w:rStyle w:val="FootnoteReference"/>
        </w:rPr>
        <w:footnoteRef/>
      </w:r>
      <w:r w:rsidRPr="00F64570">
        <w:rPr>
          <w:lang w:val="hy-AM"/>
        </w:rPr>
        <w:t xml:space="preserve"> </w:t>
      </w:r>
      <w:hyperlink r:id="rId4" w:history="1">
        <w:r w:rsidRPr="00704CAE">
          <w:rPr>
            <w:rStyle w:val="Hyperlink"/>
            <w:sz w:val="27"/>
            <w:szCs w:val="27"/>
            <w:lang w:val="hy-AM"/>
          </w:rPr>
          <w:t>https://armeniasputnik.am/karabah/20201013/24898995/arcaxum-canr-viravorvac-13amya-robert-5-or-komayi-mej-e-exel.html</w:t>
        </w:r>
      </w:hyperlink>
    </w:p>
    <w:p w:rsidR="00F64570" w:rsidRPr="00F64570" w:rsidRDefault="00F64570">
      <w:pPr>
        <w:pStyle w:val="FootnoteText"/>
        <w:rPr>
          <w:lang w:val="hy-AM"/>
        </w:rPr>
      </w:pPr>
    </w:p>
  </w:footnote>
  <w:footnote w:id="6">
    <w:p w:rsidR="00F64570" w:rsidRDefault="00F64570">
      <w:pPr>
        <w:pStyle w:val="FootnoteText"/>
        <w:rPr>
          <w:color w:val="000000"/>
          <w:sz w:val="27"/>
          <w:szCs w:val="27"/>
          <w:lang w:val="hy-AM"/>
        </w:rPr>
      </w:pPr>
      <w:r>
        <w:rPr>
          <w:rStyle w:val="FootnoteReference"/>
        </w:rPr>
        <w:footnoteRef/>
      </w:r>
      <w:r w:rsidRPr="00F64570">
        <w:rPr>
          <w:lang w:val="hy-AM"/>
        </w:rPr>
        <w:t xml:space="preserve"> </w:t>
      </w:r>
      <w:hyperlink r:id="rId5" w:history="1">
        <w:r w:rsidRPr="00704CAE">
          <w:rPr>
            <w:rStyle w:val="Hyperlink"/>
            <w:sz w:val="27"/>
            <w:szCs w:val="27"/>
            <w:lang w:val="hy-AM"/>
          </w:rPr>
          <w:t>https://www.shantnews.am/news/view/783013.html</w:t>
        </w:r>
      </w:hyperlink>
    </w:p>
    <w:p w:rsidR="00F64570" w:rsidRPr="00F64570" w:rsidRDefault="00F64570">
      <w:pPr>
        <w:pStyle w:val="FootnoteText"/>
        <w:rPr>
          <w:lang w:val="hy-AM"/>
        </w:rPr>
      </w:pPr>
    </w:p>
  </w:footnote>
  <w:footnote w:id="7">
    <w:p w:rsidR="00F64570" w:rsidRDefault="00F64570">
      <w:pPr>
        <w:pStyle w:val="FootnoteText"/>
        <w:rPr>
          <w:color w:val="000000"/>
          <w:sz w:val="27"/>
          <w:szCs w:val="27"/>
          <w:lang w:val="hy-AM"/>
        </w:rPr>
      </w:pPr>
      <w:r>
        <w:rPr>
          <w:rStyle w:val="FootnoteReference"/>
        </w:rPr>
        <w:footnoteRef/>
      </w:r>
      <w:r w:rsidRPr="00F64570">
        <w:rPr>
          <w:lang w:val="hy-AM"/>
        </w:rPr>
        <w:t xml:space="preserve"> </w:t>
      </w:r>
      <w:hyperlink r:id="rId6" w:history="1">
        <w:r w:rsidRPr="00704CAE">
          <w:rPr>
            <w:rStyle w:val="Hyperlink"/>
            <w:sz w:val="27"/>
            <w:szCs w:val="27"/>
            <w:lang w:val="hy-AM"/>
          </w:rPr>
          <w:t>https://artsakhombuds.am/sites/default/files/2020-10/Artsakh-Ombudsman-updated-second-interim-report-on-the-Azerbaijani-atrocities-in-September-October-2020-13.10.2020.pdf</w:t>
        </w:r>
      </w:hyperlink>
    </w:p>
    <w:p w:rsidR="00F64570" w:rsidRPr="00F64570" w:rsidRDefault="00F64570">
      <w:pPr>
        <w:pStyle w:val="FootnoteText"/>
        <w:rPr>
          <w:lang w:val="hy-AM"/>
        </w:rPr>
      </w:pPr>
    </w:p>
  </w:footnote>
  <w:footnote w:id="8">
    <w:p w:rsidR="00FE512D" w:rsidRDefault="00FE512D">
      <w:pPr>
        <w:pStyle w:val="FootnoteText"/>
        <w:rPr>
          <w:color w:val="000000"/>
          <w:lang w:val="hy-AM"/>
        </w:rPr>
      </w:pPr>
      <w:r>
        <w:rPr>
          <w:rStyle w:val="FootnoteReference"/>
        </w:rPr>
        <w:footnoteRef/>
      </w:r>
      <w:r>
        <w:t xml:space="preserve"> </w:t>
      </w:r>
      <w:r>
        <w:rPr>
          <w:color w:val="000000"/>
        </w:rPr>
        <w:t>Eglantyne Jebb, “Save the Children” կազմակերպության հիմնադիր</w:t>
      </w:r>
    </w:p>
    <w:p w:rsidR="00FE512D" w:rsidRPr="00FE512D" w:rsidRDefault="00FE512D">
      <w:pPr>
        <w:pStyle w:val="FootnoteText"/>
        <w:rPr>
          <w:lang w:val="hy-AM"/>
        </w:rPr>
      </w:pPr>
    </w:p>
  </w:footnote>
  <w:footnote w:id="9">
    <w:p w:rsidR="00FE512D" w:rsidRDefault="00FE512D">
      <w:pPr>
        <w:pStyle w:val="FootnoteText"/>
        <w:rPr>
          <w:color w:val="000000"/>
          <w:sz w:val="27"/>
          <w:szCs w:val="27"/>
          <w:lang w:val="hy-AM"/>
        </w:rPr>
      </w:pPr>
      <w:r>
        <w:rPr>
          <w:rStyle w:val="FootnoteReference"/>
        </w:rPr>
        <w:footnoteRef/>
      </w:r>
      <w:r w:rsidRPr="00FE512D">
        <w:rPr>
          <w:lang w:val="hy-AM"/>
        </w:rPr>
        <w:t xml:space="preserve"> </w:t>
      </w:r>
      <w:hyperlink r:id="rId7" w:history="1">
        <w:r w:rsidRPr="00704CAE">
          <w:rPr>
            <w:rStyle w:val="Hyperlink"/>
            <w:sz w:val="27"/>
            <w:szCs w:val="27"/>
            <w:lang w:val="hy-AM"/>
          </w:rPr>
          <w:t>https://www.un.org/en/universal-declaration-human-rights/</w:t>
        </w:r>
      </w:hyperlink>
    </w:p>
    <w:p w:rsidR="00FE512D" w:rsidRPr="00FE512D" w:rsidRDefault="00FE512D">
      <w:pPr>
        <w:pStyle w:val="FootnoteText"/>
        <w:rPr>
          <w:lang w:val="hy-AM"/>
        </w:rPr>
      </w:pPr>
    </w:p>
  </w:footnote>
  <w:footnote w:id="10">
    <w:p w:rsidR="00FE512D" w:rsidRDefault="00FE512D">
      <w:pPr>
        <w:pStyle w:val="FootnoteText"/>
        <w:rPr>
          <w:color w:val="000000"/>
          <w:sz w:val="27"/>
          <w:szCs w:val="27"/>
          <w:lang w:val="hy-AM"/>
        </w:rPr>
      </w:pPr>
      <w:r>
        <w:rPr>
          <w:rStyle w:val="FootnoteReference"/>
        </w:rPr>
        <w:footnoteRef/>
      </w:r>
      <w:r w:rsidRPr="00FE512D">
        <w:rPr>
          <w:lang w:val="hy-AM"/>
        </w:rPr>
        <w:t xml:space="preserve"> </w:t>
      </w:r>
      <w:hyperlink r:id="rId8" w:history="1">
        <w:r w:rsidRPr="00704CAE">
          <w:rPr>
            <w:rStyle w:val="Hyperlink"/>
            <w:sz w:val="27"/>
            <w:szCs w:val="27"/>
            <w:lang w:val="hy-AM"/>
          </w:rPr>
          <w:t>https://www.icrc.org/en/doc/war-and-law/treaties-customary-law/geneva-conventions/overview-geneva-conventions.htm</w:t>
        </w:r>
      </w:hyperlink>
    </w:p>
    <w:p w:rsidR="00FE512D" w:rsidRPr="00FE512D" w:rsidRDefault="00FE512D">
      <w:pPr>
        <w:pStyle w:val="FootnoteText"/>
        <w:rPr>
          <w:lang w:val="hy-AM"/>
        </w:rPr>
      </w:pPr>
    </w:p>
  </w:footnote>
  <w:footnote w:id="11">
    <w:p w:rsidR="00FE512D" w:rsidRDefault="00FE512D">
      <w:pPr>
        <w:pStyle w:val="FootnoteText"/>
        <w:rPr>
          <w:color w:val="000000"/>
          <w:sz w:val="27"/>
          <w:szCs w:val="27"/>
          <w:lang w:val="hy-AM"/>
        </w:rPr>
      </w:pPr>
      <w:r>
        <w:rPr>
          <w:rStyle w:val="FootnoteReference"/>
        </w:rPr>
        <w:footnoteRef/>
      </w:r>
      <w:r w:rsidRPr="00FE512D">
        <w:rPr>
          <w:lang w:val="hy-AM"/>
        </w:rPr>
        <w:t xml:space="preserve"> </w:t>
      </w:r>
      <w:hyperlink r:id="rId9" w:history="1">
        <w:r w:rsidRPr="00704CAE">
          <w:rPr>
            <w:rStyle w:val="Hyperlink"/>
            <w:sz w:val="27"/>
            <w:szCs w:val="27"/>
            <w:lang w:val="hy-AM"/>
          </w:rPr>
          <w:t>https://www.un.org/en/genocideprevention/documents/atrocity-crimes/Doc.19_declaration%20protection%20women%20armed%20conflict.pdf</w:t>
        </w:r>
      </w:hyperlink>
    </w:p>
    <w:p w:rsidR="00FE512D" w:rsidRPr="00FE512D" w:rsidRDefault="00FE512D">
      <w:pPr>
        <w:pStyle w:val="FootnoteText"/>
        <w:rPr>
          <w:lang w:val="hy-AM"/>
        </w:rPr>
      </w:pPr>
    </w:p>
  </w:footnote>
  <w:footnote w:id="12">
    <w:p w:rsidR="00FE512D" w:rsidRDefault="00FE512D">
      <w:pPr>
        <w:pStyle w:val="FootnoteText"/>
        <w:rPr>
          <w:color w:val="000000"/>
          <w:sz w:val="27"/>
          <w:szCs w:val="27"/>
          <w:lang w:val="hy-AM"/>
        </w:rPr>
      </w:pPr>
      <w:r>
        <w:rPr>
          <w:rStyle w:val="FootnoteReference"/>
        </w:rPr>
        <w:footnoteRef/>
      </w:r>
      <w:r w:rsidRPr="00FE512D">
        <w:rPr>
          <w:lang w:val="hy-AM"/>
        </w:rPr>
        <w:t xml:space="preserve"> </w:t>
      </w:r>
      <w:hyperlink r:id="rId10" w:history="1">
        <w:r w:rsidRPr="00704CAE">
          <w:rPr>
            <w:rStyle w:val="Hyperlink"/>
            <w:sz w:val="27"/>
            <w:szCs w:val="27"/>
            <w:lang w:val="hy-AM"/>
          </w:rPr>
          <w:t>https://www.ohchr.org/en/professionalinterest/pages/crc.aspx</w:t>
        </w:r>
      </w:hyperlink>
    </w:p>
    <w:p w:rsidR="00FE512D" w:rsidRPr="00FE512D" w:rsidRDefault="00FE512D">
      <w:pPr>
        <w:pStyle w:val="FootnoteText"/>
        <w:rPr>
          <w:lang w:val="hy-AM"/>
        </w:rPr>
      </w:pPr>
    </w:p>
  </w:footnote>
  <w:footnote w:id="13">
    <w:p w:rsidR="00FE512D" w:rsidRDefault="00FE512D">
      <w:pPr>
        <w:pStyle w:val="FootnoteText"/>
        <w:rPr>
          <w:color w:val="000000"/>
          <w:sz w:val="27"/>
          <w:szCs w:val="27"/>
          <w:lang w:val="hy-AM"/>
        </w:rPr>
      </w:pPr>
      <w:r>
        <w:rPr>
          <w:rStyle w:val="FootnoteReference"/>
        </w:rPr>
        <w:footnoteRef/>
      </w:r>
      <w:r w:rsidRPr="00FE512D">
        <w:rPr>
          <w:lang w:val="hy-AM"/>
        </w:rPr>
        <w:t xml:space="preserve"> </w:t>
      </w:r>
      <w:hyperlink r:id="rId11" w:history="1">
        <w:r w:rsidRPr="00704CAE">
          <w:rPr>
            <w:rStyle w:val="Hyperlink"/>
            <w:sz w:val="27"/>
            <w:szCs w:val="27"/>
            <w:lang w:val="hy-AM"/>
          </w:rPr>
          <w:t>https://www.un.org/en/sections/un-charter/preamble/</w:t>
        </w:r>
      </w:hyperlink>
    </w:p>
    <w:p w:rsidR="00FE512D" w:rsidRPr="00FE512D" w:rsidRDefault="00FE512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75A0A"/>
    <w:multiLevelType w:val="hybridMultilevel"/>
    <w:tmpl w:val="FBDE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64570"/>
    <w:rsid w:val="00AC3075"/>
    <w:rsid w:val="00C91184"/>
    <w:rsid w:val="00F64570"/>
    <w:rsid w:val="00FE5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5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4570"/>
    <w:pPr>
      <w:ind w:left="720"/>
      <w:contextualSpacing/>
    </w:pPr>
  </w:style>
  <w:style w:type="paragraph" w:styleId="BalloonText">
    <w:name w:val="Balloon Text"/>
    <w:basedOn w:val="Normal"/>
    <w:link w:val="BalloonTextChar"/>
    <w:uiPriority w:val="99"/>
    <w:semiHidden/>
    <w:unhideWhenUsed/>
    <w:rsid w:val="00F64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70"/>
    <w:rPr>
      <w:rFonts w:ascii="Tahoma" w:hAnsi="Tahoma" w:cs="Tahoma"/>
      <w:sz w:val="16"/>
      <w:szCs w:val="16"/>
    </w:rPr>
  </w:style>
  <w:style w:type="paragraph" w:styleId="FootnoteText">
    <w:name w:val="footnote text"/>
    <w:basedOn w:val="Normal"/>
    <w:link w:val="FootnoteTextChar"/>
    <w:uiPriority w:val="99"/>
    <w:semiHidden/>
    <w:unhideWhenUsed/>
    <w:rsid w:val="00F64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570"/>
    <w:rPr>
      <w:sz w:val="20"/>
      <w:szCs w:val="20"/>
    </w:rPr>
  </w:style>
  <w:style w:type="character" w:styleId="FootnoteReference">
    <w:name w:val="footnote reference"/>
    <w:basedOn w:val="DefaultParagraphFont"/>
    <w:uiPriority w:val="99"/>
    <w:semiHidden/>
    <w:unhideWhenUsed/>
    <w:rsid w:val="00F64570"/>
    <w:rPr>
      <w:vertAlign w:val="superscript"/>
    </w:rPr>
  </w:style>
  <w:style w:type="character" w:styleId="Hyperlink">
    <w:name w:val="Hyperlink"/>
    <w:basedOn w:val="DefaultParagraphFont"/>
    <w:uiPriority w:val="99"/>
    <w:unhideWhenUsed/>
    <w:rsid w:val="00F645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8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crc.org/en/doc/war-and-law/treaties-customary-law/geneva-conventions/overview-geneva-conventions.htm" TargetMode="External"/><Relationship Id="rId3" Type="http://schemas.openxmlformats.org/officeDocument/2006/relationships/hyperlink" Target="https://artsakhombuds.am/sites/default/files/2020-10/Artsakh-Ombudsman-updated-second-interim-report-on-the-Azerbaijani-atrocities-in-September-October-2020-13.10.2020.pdf" TargetMode="External"/><Relationship Id="rId7" Type="http://schemas.openxmlformats.org/officeDocument/2006/relationships/hyperlink" Target="https://www.un.org/en/universal-declaration-human-rights/" TargetMode="External"/><Relationship Id="rId2" Type="http://schemas.openxmlformats.org/officeDocument/2006/relationships/hyperlink" Target="https://www.aljazeera.com/news/2020/10/1/macron-says-syrian-fighters-operating-in-karabakh" TargetMode="External"/><Relationship Id="rId1" Type="http://schemas.openxmlformats.org/officeDocument/2006/relationships/hyperlink" Target="https://www.mfa.am/en/interviews-articles-and-comments/2020/09/27/mfa_st_nk/10462" TargetMode="External"/><Relationship Id="rId6" Type="http://schemas.openxmlformats.org/officeDocument/2006/relationships/hyperlink" Target="https://artsakhombuds.am/sites/default/files/2020-10/Artsakh-Ombudsman-updated-second-interim-report-on-the-Azerbaijani-atrocities-in-September-October-2020-13.10.2020.pdf" TargetMode="External"/><Relationship Id="rId11" Type="http://schemas.openxmlformats.org/officeDocument/2006/relationships/hyperlink" Target="https://www.un.org/en/sections/un-charter/preamble/" TargetMode="External"/><Relationship Id="rId5" Type="http://schemas.openxmlformats.org/officeDocument/2006/relationships/hyperlink" Target="https://www.shantnews.am/news/view/783013.html" TargetMode="External"/><Relationship Id="rId10" Type="http://schemas.openxmlformats.org/officeDocument/2006/relationships/hyperlink" Target="https://www.ohchr.org/en/professionalinterest/pages/crc.aspx" TargetMode="External"/><Relationship Id="rId4" Type="http://schemas.openxmlformats.org/officeDocument/2006/relationships/hyperlink" Target="https://armeniasputnik.am/karabah/20201013/24898995/arcaxum-canr-viravorvac-13amya-robert-5-or-komayi-mej-e-exel.html" TargetMode="External"/><Relationship Id="rId9" Type="http://schemas.openxmlformats.org/officeDocument/2006/relationships/hyperlink" Target="https://www.un.org/en/genocideprevention/documents/atrocity-crimes/Doc.19_declaration%20protection%20women%20armed%20confli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2479-FBB0-44B4-A3B5-84C1A725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Zaruhi Hovhannisyan</dc:creator>
  <cp:lastModifiedBy>Zaruhi Hovhannisyan</cp:lastModifiedBy>
  <cp:revision>1</cp:revision>
  <dcterms:created xsi:type="dcterms:W3CDTF">2020-10-19T11:06:00Z</dcterms:created>
  <dcterms:modified xsi:type="dcterms:W3CDTF">2020-10-19T11:24:00Z</dcterms:modified>
</cp:coreProperties>
</file>